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06148" w14:textId="02E66D66" w:rsidR="00B86FEF" w:rsidRPr="00AB3AF4" w:rsidRDefault="00B86FEF" w:rsidP="00B86FEF">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14bis</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124237" w:rsidRPr="00124237">
        <w:rPr>
          <w:rFonts w:ascii="Arial" w:hAnsi="Arial" w:cs="Arial"/>
          <w:b/>
          <w:sz w:val="24"/>
        </w:rPr>
        <w:t>R4-2503180</w:t>
      </w:r>
    </w:p>
    <w:p w14:paraId="5B9102F0" w14:textId="77777777" w:rsidR="00B86FEF" w:rsidRDefault="00B86FEF" w:rsidP="00B86FEF">
      <w:pPr>
        <w:tabs>
          <w:tab w:val="left" w:pos="2160"/>
        </w:tabs>
        <w:rPr>
          <w:rFonts w:ascii="Arial" w:hAnsi="Arial" w:cs="Arial"/>
          <w:b/>
          <w:sz w:val="24"/>
        </w:rPr>
      </w:pPr>
      <w:r>
        <w:rPr>
          <w:rFonts w:ascii="Arial" w:hAnsi="Arial" w:cs="Arial"/>
          <w:b/>
          <w:sz w:val="24"/>
        </w:rPr>
        <w:t>Wuhan</w:t>
      </w:r>
      <w:r w:rsidRPr="0098250D">
        <w:rPr>
          <w:rFonts w:ascii="Arial" w:hAnsi="Arial" w:cs="Arial"/>
          <w:b/>
          <w:sz w:val="24"/>
        </w:rPr>
        <w:t xml:space="preserve">, </w:t>
      </w:r>
      <w:r>
        <w:rPr>
          <w:rFonts w:ascii="Arial" w:hAnsi="Arial" w:cs="Arial"/>
          <w:b/>
          <w:sz w:val="24"/>
        </w:rPr>
        <w:t>China</w:t>
      </w:r>
      <w:r w:rsidRPr="0098250D">
        <w:rPr>
          <w:rFonts w:ascii="Arial" w:hAnsi="Arial" w:cs="Arial"/>
          <w:b/>
          <w:sz w:val="24"/>
        </w:rPr>
        <w:t xml:space="preserve">, </w:t>
      </w:r>
      <w:r>
        <w:rPr>
          <w:rFonts w:ascii="Arial" w:hAnsi="Arial" w:cs="Arial"/>
          <w:b/>
          <w:sz w:val="24"/>
        </w:rPr>
        <w:t>7</w:t>
      </w:r>
      <w:r w:rsidRPr="000A7A0F">
        <w:rPr>
          <w:rFonts w:ascii="Arial" w:hAnsi="Arial" w:cs="Arial"/>
          <w:b/>
          <w:sz w:val="24"/>
        </w:rPr>
        <w:t xml:space="preserve">th – </w:t>
      </w:r>
      <w:r>
        <w:rPr>
          <w:rFonts w:ascii="Arial" w:hAnsi="Arial" w:cs="Arial"/>
          <w:b/>
          <w:sz w:val="24"/>
        </w:rPr>
        <w:t>11th</w:t>
      </w:r>
      <w:r w:rsidRPr="000A7A0F">
        <w:rPr>
          <w:rFonts w:ascii="Arial" w:hAnsi="Arial" w:cs="Arial"/>
          <w:b/>
          <w:sz w:val="24"/>
        </w:rPr>
        <w:t xml:space="preserve"> </w:t>
      </w:r>
      <w:r>
        <w:rPr>
          <w:rFonts w:ascii="Arial" w:hAnsi="Arial" w:cs="Arial"/>
          <w:b/>
          <w:sz w:val="24"/>
        </w:rPr>
        <w:t>April</w:t>
      </w:r>
      <w:r w:rsidRPr="000A7A0F">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38931C75" w:rsidR="00D309CC" w:rsidRPr="006C351C" w:rsidRDefault="00D309CC" w:rsidP="00E27B54">
      <w:pPr>
        <w:pStyle w:val="CH"/>
        <w:rPr>
          <w:b w:val="0"/>
        </w:rPr>
      </w:pPr>
      <w:r w:rsidRPr="0008103A">
        <w:t>Agenda item:</w:t>
      </w:r>
      <w:r>
        <w:tab/>
      </w:r>
      <w:r w:rsidR="00124237" w:rsidRPr="00124237">
        <w:t>7.10.2.2.1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61E1DD66" w:rsidR="00D309CC" w:rsidRPr="006C351C" w:rsidRDefault="00D309CC" w:rsidP="003F59B1">
      <w:pPr>
        <w:pStyle w:val="CH"/>
        <w:ind w:left="2260" w:hanging="2260"/>
      </w:pPr>
      <w:r w:rsidRPr="006C351C">
        <w:t>Title:</w:t>
      </w:r>
      <w:r w:rsidRPr="006C351C">
        <w:tab/>
      </w:r>
      <w:r w:rsidR="008565C4" w:rsidRPr="008565C4">
        <w:t>Further considerations on the high-power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79CEC34" w14:textId="6D7F09C2" w:rsidR="0076514D" w:rsidRDefault="00FF5898" w:rsidP="00E27B54">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w:t>
      </w:r>
      <w:r w:rsidR="0076514D">
        <w:t xml:space="preserve"> That time the only available power class for NTN was PC3 offering the maximum nominal output power of 23dBm. During the RAN#104 meeting a new WI was agreed </w:t>
      </w:r>
      <w:r w:rsidR="0076514D">
        <w:fldChar w:fldCharType="begin"/>
      </w:r>
      <w:r w:rsidR="0076514D">
        <w:instrText xml:space="preserve"> REF _Ref173832184 \r \h </w:instrText>
      </w:r>
      <w:r w:rsidR="0076514D">
        <w:fldChar w:fldCharType="separate"/>
      </w:r>
      <w:r w:rsidR="0076514D">
        <w:t>[2]</w:t>
      </w:r>
      <w:r w:rsidR="0076514D">
        <w:fldChar w:fldCharType="end"/>
      </w:r>
      <w:r w:rsidR="0076514D">
        <w:t xml:space="preserve"> with one of the objectives to enable higher power classes for NTN.</w:t>
      </w:r>
    </w:p>
    <w:p w14:paraId="2CE9B4B9" w14:textId="6F9CAAC9" w:rsidR="0076514D" w:rsidRDefault="0076514D" w:rsidP="00E27B54">
      <w:r>
        <w:t xml:space="preserve">During the previous </w:t>
      </w:r>
      <w:r w:rsidR="00A45DAC">
        <w:t xml:space="preserve">meetings RAN WG4 discussed which power classes and UE architectures should be considered further for the normative work. Thus, in this discussion paper we present our further views on NTN power classes and associated power domain enhancements. </w:t>
      </w:r>
    </w:p>
    <w:p w14:paraId="6078594E" w14:textId="0AC68B51" w:rsidR="00DE6BE6" w:rsidRDefault="00FC371C" w:rsidP="00E65966">
      <w:pPr>
        <w:pStyle w:val="Heading1"/>
        <w:keepNext w:val="0"/>
        <w:keepLines w:val="0"/>
      </w:pPr>
      <w:r>
        <w:t>2</w:t>
      </w:r>
      <w:r>
        <w:tab/>
      </w:r>
      <w:r w:rsidR="008565C4">
        <w:t>High-power Tx requirements</w:t>
      </w:r>
    </w:p>
    <w:p w14:paraId="0DE0D005" w14:textId="140CBC7A" w:rsidR="003F68E6" w:rsidRDefault="003F68E6" w:rsidP="00326299">
      <w:pPr>
        <w:pStyle w:val="Heading2"/>
      </w:pPr>
      <w:r>
        <w:t>2.1</w:t>
      </w:r>
      <w:r>
        <w:tab/>
      </w:r>
      <w:r w:rsidR="008565C4">
        <w:t>Power classes and UE architectures</w:t>
      </w:r>
    </w:p>
    <w:p w14:paraId="47D5110F" w14:textId="5FAD8E81" w:rsidR="00A61D6B" w:rsidRDefault="00A61D6B" w:rsidP="008565C4">
      <w:pPr>
        <w:jc w:val="both"/>
      </w:pPr>
      <w:r>
        <w:t xml:space="preserve">During the </w:t>
      </w:r>
      <w:r w:rsidR="009B4476">
        <w:t>previous</w:t>
      </w:r>
      <w:r>
        <w:t xml:space="preserve"> meeting</w:t>
      </w:r>
      <w:r w:rsidR="009B4476">
        <w:t>s</w:t>
      </w:r>
      <w:r>
        <w:t xml:space="preserve"> companies discussed which power classes should be considered further for the NTN core specifications and under which UE RF architecture assumptions. It is worth noting that the existing NTN power class 3 is based on 1TX architecture that is common for both terrestrial and satellite bands FDD bands. Similarly, the existing power class 2, which is also based on 1TX architecture, can be easily extended from the existing terrestrial FDD bands to the satellite FDD bands. The PC1 power class is also based on 1TX architecture and is defined for the terrestrial FDD bands, from which it can be extended to the satellite operation. </w:t>
      </w:r>
    </w:p>
    <w:p w14:paraId="1B85F726" w14:textId="011916CF" w:rsidR="008565C4" w:rsidRDefault="00A61D6B" w:rsidP="00723D09">
      <w:pPr>
        <w:pStyle w:val="Observation"/>
      </w:pPr>
      <w:r>
        <w:t>Observation 1a:</w:t>
      </w:r>
      <w:r>
        <w:tab/>
        <w:t xml:space="preserve">Both PC2 and PC1 are based on the 1TX architecture </w:t>
      </w:r>
      <w:r w:rsidR="004A34B7">
        <w:t xml:space="preserve">and </w:t>
      </w:r>
      <w:r>
        <w:t xml:space="preserve">are defined for the existing terrestrial FDD bands, which makes them ideal candidates for </w:t>
      </w:r>
      <w:r w:rsidR="00723D09">
        <w:t xml:space="preserve">efficient operation in </w:t>
      </w:r>
      <w:r>
        <w:t>the</w:t>
      </w:r>
      <w:r w:rsidR="00723D09">
        <w:t xml:space="preserve"> satellite FDD bands.</w:t>
      </w:r>
      <w:r>
        <w:t xml:space="preserve">    </w:t>
      </w:r>
    </w:p>
    <w:p w14:paraId="10E3028F" w14:textId="56053A84" w:rsidR="00092644" w:rsidRDefault="00723D09" w:rsidP="008565C4">
      <w:pPr>
        <w:jc w:val="both"/>
      </w:pPr>
      <w:r>
        <w:t>There was also a discussion on whether and how to enable the PC1.5 power class, for which several major concerns were raised. Firstly, this power class is defined only for the terrestrial TDD bands</w:t>
      </w:r>
      <w:r w:rsidR="00AB3997">
        <w:t xml:space="preserve"> and is not applicable to the FDD bands</w:t>
      </w:r>
      <w:r>
        <w:t xml:space="preserve">. Secondly, since this power class assumes 2TX architecture, the resulting performance </w:t>
      </w:r>
      <w:r w:rsidR="00DC5551">
        <w:t>could</w:t>
      </w:r>
      <w:r>
        <w:t xml:space="preserve"> be quite sub</w:t>
      </w:r>
      <w:r w:rsidR="00092644">
        <w:t>-</w:t>
      </w:r>
      <w:r>
        <w:t>optimal comparing to the 29dBm transmission with 1TX</w:t>
      </w:r>
      <w:r w:rsidR="00AB3997">
        <w:t xml:space="preserve"> if it is enabled for the FDD satellite links</w:t>
      </w:r>
      <w:r>
        <w:t>.</w:t>
      </w:r>
      <w:r w:rsidR="00DC5551">
        <w:t xml:space="preserve"> The matter is that 2TX architecture will require configuring UL MIMO, performance of which is questionable for the satellite channels. So</w:t>
      </w:r>
      <w:r w:rsidR="00A50E09">
        <w:t>,</w:t>
      </w:r>
      <w:r w:rsidR="00DC5551">
        <w:t xml:space="preserve"> it could be the case that 23+23dBm configuration will perform even worse than a single 23dBm chain in case of the satellite channel. Another important aspect to consider is the fact that 2Tx architecture and UL MIMO will require CP-OFDM, power back-off values for which are larger than DFT-s-OFDM.  </w:t>
      </w:r>
    </w:p>
    <w:p w14:paraId="266587D4" w14:textId="450F4575" w:rsidR="00092644" w:rsidRDefault="00092644" w:rsidP="00092644">
      <w:pPr>
        <w:pStyle w:val="Observation"/>
      </w:pPr>
      <w:r>
        <w:t>Observation 1b:</w:t>
      </w:r>
      <w:r>
        <w:tab/>
      </w:r>
      <w:r w:rsidR="00723D09">
        <w:t xml:space="preserve"> </w:t>
      </w:r>
      <w:r>
        <w:t>The existing PC1.5 power class is defined only for the TDD terrestrial bands and is based on the 2TX architecture</w:t>
      </w:r>
      <w:r w:rsidR="00DC5551">
        <w:t>.</w:t>
      </w:r>
    </w:p>
    <w:p w14:paraId="1BD8AD65" w14:textId="78EB1D95" w:rsidR="005116B8" w:rsidRDefault="005116B8" w:rsidP="005116B8">
      <w:pPr>
        <w:pStyle w:val="Observation"/>
      </w:pPr>
      <w:r>
        <w:t>Observation 1c:</w:t>
      </w:r>
      <w:r>
        <w:tab/>
        <w:t xml:space="preserve"> 2TX architecture will require UL MIMO, resulting performance of which is not clear for the satellite channels.</w:t>
      </w:r>
    </w:p>
    <w:p w14:paraId="76284C71" w14:textId="06AD5011" w:rsidR="005116B8" w:rsidRDefault="005116B8" w:rsidP="005116B8">
      <w:pPr>
        <w:pStyle w:val="Observation"/>
      </w:pPr>
      <w:r>
        <w:t>Observation 1d:</w:t>
      </w:r>
      <w:r>
        <w:tab/>
        <w:t xml:space="preserve"> 2TX architecture and UL MIMO will also require CP-OFDM, MPR margins and A-MPR of which is much larger compared to DFT-s-OFDM (see the corresponding A-MPR values for e.g. band n254 and n256).</w:t>
      </w:r>
    </w:p>
    <w:p w14:paraId="209C00D5" w14:textId="77777777" w:rsidR="005116B8" w:rsidRDefault="005116B8" w:rsidP="00092644">
      <w:pPr>
        <w:pStyle w:val="Observation"/>
      </w:pPr>
    </w:p>
    <w:p w14:paraId="250E254A" w14:textId="0AC51A7E" w:rsidR="00C6630F" w:rsidRDefault="00092644" w:rsidP="00092644">
      <w:r>
        <w:lastRenderedPageBreak/>
        <w:t>Nevertheless, since there is an interest from the industry to enable 29dBm transmission power for the NTN devices, we suggest studying it further</w:t>
      </w:r>
      <w:r w:rsidR="00C6630F">
        <w:t xml:space="preserve"> in the follow-up work once RAN WG4 completes the work on PC2 and PC1 classes.</w:t>
      </w:r>
    </w:p>
    <w:p w14:paraId="0F9F054F" w14:textId="127EC9BD" w:rsidR="00723D09" w:rsidRDefault="00723D09" w:rsidP="00092644">
      <w:r>
        <w:t xml:space="preserve">  </w:t>
      </w:r>
    </w:p>
    <w:p w14:paraId="6200D3FA" w14:textId="03A62F87" w:rsidR="008565C4" w:rsidRDefault="008565C4" w:rsidP="008565C4">
      <w:pPr>
        <w:pStyle w:val="Proposal"/>
      </w:pPr>
      <w:bookmarkStart w:id="1" w:name="_Toc181623679"/>
      <w:bookmarkStart w:id="2" w:name="_Toc181898561"/>
      <w:bookmarkStart w:id="3" w:name="_Toc181986430"/>
      <w:bookmarkStart w:id="4" w:name="_Toc181986491"/>
      <w:bookmarkStart w:id="5" w:name="_Toc181986882"/>
      <w:bookmarkStart w:id="6" w:name="_Toc189659801"/>
      <w:bookmarkStart w:id="7" w:name="_Toc189659927"/>
      <w:bookmarkStart w:id="8" w:name="_Toc189838423"/>
      <w:bookmarkStart w:id="9" w:name="_Toc189840931"/>
      <w:bookmarkStart w:id="10" w:name="_Toc189841056"/>
      <w:bookmarkStart w:id="11" w:name="_Toc193208423"/>
      <w:bookmarkStart w:id="12" w:name="_Toc193208486"/>
      <w:bookmarkStart w:id="13" w:name="_Toc193209378"/>
      <w:bookmarkStart w:id="14" w:name="_Toc193284457"/>
      <w:bookmarkStart w:id="15" w:name="_Toc193987708"/>
      <w:bookmarkStart w:id="16" w:name="_Toc193988319"/>
      <w:bookmarkStart w:id="17" w:name="_Toc193989707"/>
      <w:bookmarkStart w:id="18" w:name="_Toc193989828"/>
      <w:r>
        <w:t>Proposal 1:</w:t>
      </w:r>
      <w:r>
        <w:tab/>
        <w:t xml:space="preserve">29dBm for the FDD bands and handheld devices can be tackled in the follow-up </w:t>
      </w:r>
      <w:r w:rsidR="001F2981">
        <w:t>normative work</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p>
    <w:p w14:paraId="541B4B3D" w14:textId="77777777" w:rsidR="00326299" w:rsidRDefault="00326299" w:rsidP="00B43710">
      <w:pPr>
        <w:jc w:val="both"/>
      </w:pPr>
    </w:p>
    <w:p w14:paraId="04E7D5EA" w14:textId="7F5ABA21" w:rsidR="00326299" w:rsidRDefault="00326299" w:rsidP="00326299">
      <w:pPr>
        <w:pStyle w:val="Heading2"/>
      </w:pPr>
      <w:r>
        <w:t>2.2</w:t>
      </w:r>
      <w:r>
        <w:tab/>
      </w:r>
      <w:r w:rsidR="009E5781">
        <w:t>Further considerations on Tx requirements</w:t>
      </w:r>
    </w:p>
    <w:p w14:paraId="32E96D3D" w14:textId="21A2BD29" w:rsidR="006E1969" w:rsidRDefault="006A3699" w:rsidP="00B43710">
      <w:pPr>
        <w:jc w:val="both"/>
      </w:pPr>
      <w:r>
        <w:t>During the previous RAN4</w:t>
      </w:r>
      <w:r w:rsidR="006E1969">
        <w:t xml:space="preserve"> </w:t>
      </w:r>
      <w:r>
        <w:t>meeting</w:t>
      </w:r>
      <w:r w:rsidR="006E1969">
        <w:t>s</w:t>
      </w:r>
      <w:r>
        <w:t xml:space="preserve"> several companies expressed the view that some of the existing parameters, such as ACLR or SEM, can be relaxed to increase the maximum output power. </w:t>
      </w:r>
      <w:proofErr w:type="gramStart"/>
      <w:r>
        <w:t>Generally speaking, it</w:t>
      </w:r>
      <w:proofErr w:type="gramEnd"/>
      <w:r>
        <w:t xml:space="preserve"> is indeed true that unless even more stringent regulatory requirements are used, the ACLR and SEM are the major limiting factors. And since the ACLR is the requirement defined by 3GPP, it looks quite appealing to boost the UE power for NTN by relaxing the corresponding ACLR values. However, it is worth noting that ACLR becomes the limiting factor only for large UL allocations. As can be seen from the Figure 2.2-1 below, </w:t>
      </w:r>
      <w:r w:rsidR="006E1969">
        <w:t xml:space="preserve">irrespective of the fact whether CP-OFDM or DFT-s-OFDM is used, </w:t>
      </w:r>
      <w:r>
        <w:t xml:space="preserve">the ACLR </w:t>
      </w:r>
      <w:r w:rsidR="00B30F57">
        <w:t>usually</w:t>
      </w:r>
      <w:r>
        <w:t xml:space="preserve"> limit</w:t>
      </w:r>
      <w:r w:rsidR="00B30F57">
        <w:t>s</w:t>
      </w:r>
      <w:r>
        <w:t xml:space="preserve"> the maximum output power</w:t>
      </w:r>
      <w:r w:rsidR="00B30F57">
        <w:t xml:space="preserve"> only when a UE is scheduled with a large UL allocation. </w:t>
      </w:r>
      <w:r>
        <w:t xml:space="preserve"> On the contrary to it, small UL allocations</w:t>
      </w:r>
      <w:r w:rsidR="006E1969">
        <w:t xml:space="preserve"> especially the ones residing at the</w:t>
      </w:r>
      <w:r>
        <w:t xml:space="preserve"> </w:t>
      </w:r>
      <w:r w:rsidR="006E1969">
        <w:t xml:space="preserve">channel edge </w:t>
      </w:r>
      <w:r>
        <w:t xml:space="preserve">are limited by SEM, not by the ACLR. </w:t>
      </w:r>
      <w:r w:rsidR="006E1969">
        <w:t xml:space="preserve">It also worth noting that in case of CP-OFDM IBE becomes a limiting factor for inner allocations, even small ones. </w:t>
      </w:r>
    </w:p>
    <w:p w14:paraId="33249A12" w14:textId="50E382ED" w:rsidR="00F97F77" w:rsidRDefault="006E1969" w:rsidP="00B43710">
      <w:pPr>
        <w:jc w:val="both"/>
      </w:pPr>
      <w:r>
        <w:t xml:space="preserve">Based on these considerations our current view is that </w:t>
      </w:r>
      <w:r w:rsidR="006A3699">
        <w:t>since a</w:t>
      </w:r>
      <w:r>
        <w:t>n NTN</w:t>
      </w:r>
      <w:r w:rsidR="006A3699">
        <w:t xml:space="preserve"> UE will be allocated small UL grants to maintain link budget of the satellite link, potential relaxations of ACLR will not provide any gains in the maximum output power.</w:t>
      </w:r>
      <w:r>
        <w:t xml:space="preserve"> It is mostly SEM and IBE that will benefit CP-OFDM and DFT-s-OFDM. </w:t>
      </w:r>
      <w:r w:rsidR="00DD0817">
        <w:t>And of course</w:t>
      </w:r>
      <w:r w:rsidR="00B83905">
        <w:t>,</w:t>
      </w:r>
      <w:r w:rsidR="00DD0817">
        <w:t xml:space="preserve"> we should bear in mind that </w:t>
      </w:r>
      <w:r w:rsidR="006A3699">
        <w:t xml:space="preserve">SEM is defined by regulations, not by 3GPP, and thus it remains somewhat questionable on whether regulations will </w:t>
      </w:r>
      <w:r w:rsidR="00F97F77">
        <w:t>allow</w:t>
      </w:r>
      <w:r w:rsidR="006A3699">
        <w:t xml:space="preserve"> this type of relaxation. </w:t>
      </w:r>
    </w:p>
    <w:p w14:paraId="099ACCA2" w14:textId="77777777" w:rsidR="00B4064C" w:rsidRDefault="00B4064C" w:rsidP="00B43710">
      <w:pPr>
        <w:jc w:val="both"/>
      </w:pPr>
    </w:p>
    <w:p w14:paraId="2CC02250" w14:textId="4AE3037D" w:rsidR="00061B02" w:rsidRDefault="006E1969" w:rsidP="00061B02">
      <w:pPr>
        <w:jc w:val="center"/>
      </w:pPr>
      <w:r>
        <w:rPr>
          <w:noProof/>
        </w:rPr>
        <w:drawing>
          <wp:inline distT="0" distB="0" distL="0" distR="0" wp14:anchorId="54B5D40A" wp14:editId="49EAD2BC">
            <wp:extent cx="2419200" cy="2124000"/>
            <wp:effectExtent l="0" t="0" r="0" b="0"/>
            <wp:docPr id="1299157627" name="Picture 1" descr="A diagram of a number of different colored tri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57627" name="Picture 1" descr="A diagram of a number of different colored triangl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419200" cy="2124000"/>
                    </a:xfrm>
                    <a:prstGeom prst="rect">
                      <a:avLst/>
                    </a:prstGeom>
                  </pic:spPr>
                </pic:pic>
              </a:graphicData>
            </a:graphic>
          </wp:inline>
        </w:drawing>
      </w:r>
      <w:r>
        <w:t xml:space="preserve">    </w:t>
      </w:r>
      <w:r>
        <w:rPr>
          <w:noProof/>
        </w:rPr>
        <w:drawing>
          <wp:inline distT="0" distB="0" distL="0" distR="0" wp14:anchorId="0209BBFD" wp14:editId="50A34B0A">
            <wp:extent cx="2480400" cy="2073600"/>
            <wp:effectExtent l="0" t="0" r="0" b="0"/>
            <wp:docPr id="1211732757" name="Picture 2" descr="A graph with green and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732757" name="Picture 2" descr="A graph with green and yellow lines&#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2480400" cy="2073600"/>
                    </a:xfrm>
                    <a:prstGeom prst="rect">
                      <a:avLst/>
                    </a:prstGeom>
                  </pic:spPr>
                </pic:pic>
              </a:graphicData>
            </a:graphic>
          </wp:inline>
        </w:drawing>
      </w:r>
    </w:p>
    <w:p w14:paraId="34A271E2" w14:textId="67353415" w:rsidR="00061B02" w:rsidRDefault="00061B02" w:rsidP="00061B02">
      <w:pPr>
        <w:pStyle w:val="TF"/>
      </w:pPr>
      <w:r>
        <w:t xml:space="preserve">Figure 2.2-1: </w:t>
      </w:r>
      <w:r w:rsidRPr="00061B02">
        <w:t xml:space="preserve">Illustration of limiting factors </w:t>
      </w:r>
      <w:r w:rsidR="006E1969">
        <w:t>for PC2 CP-OFDM (left) and DFT-s-OFDM (right)</w:t>
      </w:r>
      <w:r>
        <w:t>.</w:t>
      </w:r>
    </w:p>
    <w:p w14:paraId="7923108A" w14:textId="77777777" w:rsidR="00061B02" w:rsidRDefault="00061B02" w:rsidP="00B43710">
      <w:pPr>
        <w:jc w:val="both"/>
      </w:pPr>
    </w:p>
    <w:p w14:paraId="182E9FFD" w14:textId="314653EF" w:rsidR="009D2703" w:rsidRPr="009D2703" w:rsidRDefault="009D2703" w:rsidP="009D2703">
      <w:pPr>
        <w:pStyle w:val="Observation"/>
      </w:pPr>
      <w:r w:rsidRPr="009D2703">
        <w:t>Observation 2a:</w:t>
      </w:r>
      <w:r w:rsidRPr="009D2703">
        <w:tab/>
        <w:t>ACLR becomes the limiting factor only for large allocations, whereas small UL allocations are limited by SEM</w:t>
      </w:r>
      <w:r w:rsidR="00286EA5">
        <w:t xml:space="preserve"> in case of DFT-s-OFDM and SEM/IBE in case of CP-OFDM</w:t>
      </w:r>
      <w:r w:rsidRPr="009D2703">
        <w:t>.</w:t>
      </w:r>
    </w:p>
    <w:p w14:paraId="1AD5300E" w14:textId="53FE47AC" w:rsidR="009D2703" w:rsidRDefault="009D2703" w:rsidP="009D2703">
      <w:pPr>
        <w:pStyle w:val="Observation"/>
      </w:pPr>
      <w:r w:rsidRPr="009D2703">
        <w:t>Observation 2b:</w:t>
      </w:r>
      <w:r w:rsidRPr="009D2703">
        <w:tab/>
        <w:t xml:space="preserve">Relaxing ACLR will not boost the maximum output power for the satellite links because a UE will be assigned small UL allocations. </w:t>
      </w:r>
    </w:p>
    <w:p w14:paraId="429210E7" w14:textId="720EC4C6" w:rsidR="009D2703" w:rsidRPr="009D2703" w:rsidRDefault="009D2703" w:rsidP="009D2703">
      <w:pPr>
        <w:pStyle w:val="Observation"/>
      </w:pPr>
      <w:r>
        <w:t>Observation 2c:</w:t>
      </w:r>
      <w:r>
        <w:tab/>
      </w:r>
      <w:r w:rsidR="00D453E6">
        <w:t>It</w:t>
      </w:r>
      <w:r>
        <w:t xml:space="preserve"> is not clear whether </w:t>
      </w:r>
      <w:r w:rsidR="00D453E6">
        <w:t>relaxation of the existing SEM</w:t>
      </w:r>
      <w:r w:rsidR="00EF05EF">
        <w:t xml:space="preserve"> is possible because it is defined by regulations, not by 3GPP</w:t>
      </w:r>
      <w:r>
        <w:t xml:space="preserve">.  </w:t>
      </w:r>
    </w:p>
    <w:p w14:paraId="1923469B" w14:textId="77777777" w:rsidR="00B4064C" w:rsidRDefault="00B4064C" w:rsidP="00B43710">
      <w:pPr>
        <w:jc w:val="both"/>
      </w:pPr>
    </w:p>
    <w:p w14:paraId="515DD64E" w14:textId="77777777" w:rsidR="00B4064C" w:rsidRDefault="00B4064C" w:rsidP="00B43710">
      <w:pPr>
        <w:jc w:val="both"/>
      </w:pPr>
    </w:p>
    <w:p w14:paraId="0ACA34AC" w14:textId="76B4C390" w:rsidR="008565C4" w:rsidRDefault="00F97F77" w:rsidP="00B43710">
      <w:pPr>
        <w:jc w:val="both"/>
      </w:pPr>
      <w:r>
        <w:lastRenderedPageBreak/>
        <w:t>As</w:t>
      </w:r>
      <w:r w:rsidR="006A3699">
        <w:t xml:space="preserve"> </w:t>
      </w:r>
      <w:r>
        <w:t xml:space="preserve">summary, it is </w:t>
      </w:r>
      <w:r w:rsidR="00061B02">
        <w:t>important</w:t>
      </w:r>
      <w:r>
        <w:t xml:space="preserve"> to ensure that an NTN UE uses the highest possible maximum output power. </w:t>
      </w:r>
      <w:r w:rsidR="00B4064C">
        <w:t>Based on the obtained results for PC2 one can already conclude that relaxing only ACLR</w:t>
      </w:r>
      <w:r w:rsidR="00B4064C">
        <w:t xml:space="preserve"> might benefit only larger allocations, whereas power enhancements for small allocations can be achieved through SEM and IBE relaxations.</w:t>
      </w:r>
      <w:r w:rsidR="00B4064C">
        <w:t xml:space="preserve"> </w:t>
      </w:r>
      <w:r w:rsidR="00B4064C">
        <w:t>Thus,</w:t>
      </w:r>
      <w:r>
        <w:t xml:space="preserve"> to achieve that 3GPP </w:t>
      </w:r>
      <w:r w:rsidR="00B4064C">
        <w:t>should</w:t>
      </w:r>
      <w:r>
        <w:t xml:space="preserve"> consider further which relaxations of the existing requirements can indeed benefit the satellite links</w:t>
      </w:r>
      <w:r w:rsidR="004024BA">
        <w:t xml:space="preserve"> without violating the regulatory requirements</w:t>
      </w:r>
      <w:r>
        <w:t xml:space="preserve">. </w:t>
      </w:r>
      <w:r w:rsidR="009D2703">
        <w:t xml:space="preserve">Meanwhile, existing 3GPP ACLR and SEM requirements can be adopted for the high-power NTN UEs as a baseline assumption. </w:t>
      </w:r>
      <w:r w:rsidR="006A3699">
        <w:t xml:space="preserve"> </w:t>
      </w:r>
      <w:r w:rsidR="008565C4">
        <w:t xml:space="preserve"> </w:t>
      </w:r>
    </w:p>
    <w:p w14:paraId="29FC92EF" w14:textId="77777777" w:rsidR="0094373D" w:rsidRDefault="0094373D" w:rsidP="00E65966">
      <w:pPr>
        <w:spacing w:after="0"/>
        <w:jc w:val="center"/>
      </w:pPr>
    </w:p>
    <w:p w14:paraId="3EFFC7A1" w14:textId="2F35965F" w:rsidR="0069685D" w:rsidRDefault="00E9649F" w:rsidP="009A1316">
      <w:pPr>
        <w:pStyle w:val="Proposal"/>
      </w:pPr>
      <w:bookmarkStart w:id="19" w:name="_Toc158620550"/>
      <w:bookmarkStart w:id="20" w:name="_Toc158621454"/>
      <w:bookmarkStart w:id="21" w:name="_Toc165993507"/>
      <w:bookmarkStart w:id="22" w:name="_Toc173683168"/>
      <w:bookmarkStart w:id="23" w:name="_Toc173685739"/>
      <w:bookmarkStart w:id="24" w:name="_Toc178773350"/>
      <w:bookmarkStart w:id="25" w:name="_Toc178773419"/>
      <w:bookmarkStart w:id="26" w:name="_Toc178777079"/>
      <w:bookmarkStart w:id="27" w:name="_Toc181623680"/>
      <w:bookmarkStart w:id="28" w:name="_Toc181898562"/>
      <w:bookmarkStart w:id="29" w:name="_Toc181986431"/>
      <w:bookmarkStart w:id="30" w:name="_Toc181986492"/>
      <w:bookmarkStart w:id="31" w:name="_Toc181986883"/>
      <w:bookmarkStart w:id="32" w:name="_Toc189659802"/>
      <w:bookmarkStart w:id="33" w:name="_Toc189659928"/>
      <w:bookmarkStart w:id="34" w:name="_Toc189838424"/>
      <w:bookmarkStart w:id="35" w:name="_Toc189840932"/>
      <w:bookmarkStart w:id="36" w:name="_Toc189841057"/>
      <w:bookmarkStart w:id="37" w:name="_Toc193208424"/>
      <w:bookmarkStart w:id="38" w:name="_Toc193208487"/>
      <w:bookmarkStart w:id="39" w:name="_Toc193209379"/>
      <w:bookmarkStart w:id="40" w:name="_Toc193284458"/>
      <w:bookmarkStart w:id="41" w:name="_Toc193987709"/>
      <w:bookmarkStart w:id="42" w:name="_Toc193988320"/>
      <w:bookmarkStart w:id="43" w:name="_Toc193989708"/>
      <w:bookmarkStart w:id="44" w:name="_Toc193989829"/>
      <w:r w:rsidRPr="00872482">
        <w:rPr>
          <w:bCs/>
        </w:rPr>
        <w:t>Proposal</w:t>
      </w:r>
      <w:r w:rsidR="003801C1">
        <w:rPr>
          <w:bCs/>
        </w:rPr>
        <w:t xml:space="preserve"> </w:t>
      </w:r>
      <w:r w:rsidR="0069685D">
        <w:rPr>
          <w:bCs/>
        </w:rPr>
        <w:t>2a</w:t>
      </w:r>
      <w:r w:rsidRPr="00872482">
        <w:rPr>
          <w:bCs/>
        </w:rPr>
        <w:t>:</w:t>
      </w:r>
      <w:r w:rsidR="00761DA3">
        <w:tab/>
      </w:r>
      <w:bookmarkEnd w:id="19"/>
      <w:bookmarkEnd w:id="20"/>
      <w:bookmarkEnd w:id="21"/>
      <w:bookmarkEnd w:id="22"/>
      <w:r w:rsidR="0069685D">
        <w:t xml:space="preserve">As a baseline approach, existing </w:t>
      </w:r>
      <w:r w:rsidR="00DA7826">
        <w:t>Tx</w:t>
      </w:r>
      <w:r w:rsidR="0069685D">
        <w:t xml:space="preserve"> requirements </w:t>
      </w:r>
      <w:r w:rsidR="00497E40">
        <w:t xml:space="preserve">from the TN specifications </w:t>
      </w:r>
      <w:r w:rsidR="0069685D">
        <w:t>are re-used for the high-power NTN UE</w:t>
      </w:r>
      <w:r w:rsidR="009A1316">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B4E8018" w14:textId="0B6882BB" w:rsidR="00D16E5B" w:rsidRDefault="0069685D" w:rsidP="00A15B1F">
      <w:pPr>
        <w:pStyle w:val="Proposal"/>
      </w:pPr>
      <w:bookmarkStart w:id="45" w:name="_Toc181623681"/>
      <w:bookmarkStart w:id="46" w:name="_Toc181898563"/>
      <w:bookmarkStart w:id="47" w:name="_Toc181986432"/>
      <w:bookmarkStart w:id="48" w:name="_Toc181986493"/>
      <w:bookmarkStart w:id="49" w:name="_Toc181986884"/>
      <w:bookmarkStart w:id="50" w:name="_Toc189659803"/>
      <w:bookmarkStart w:id="51" w:name="_Toc189659929"/>
      <w:bookmarkStart w:id="52" w:name="_Toc189838425"/>
      <w:bookmarkStart w:id="53" w:name="_Toc189840933"/>
      <w:bookmarkStart w:id="54" w:name="_Toc189841058"/>
      <w:bookmarkStart w:id="55" w:name="_Toc193208425"/>
      <w:bookmarkStart w:id="56" w:name="_Toc193208488"/>
      <w:bookmarkStart w:id="57" w:name="_Toc193209380"/>
      <w:bookmarkStart w:id="58" w:name="_Toc193284459"/>
      <w:bookmarkStart w:id="59" w:name="_Toc193987710"/>
      <w:bookmarkStart w:id="60" w:name="_Toc193988321"/>
      <w:bookmarkStart w:id="61" w:name="_Toc193989709"/>
      <w:bookmarkStart w:id="62" w:name="_Toc193989830"/>
      <w:r>
        <w:t>Proposal 2b:</w:t>
      </w:r>
      <w:r>
        <w:tab/>
        <w:t xml:space="preserve">RAN WG4 can study </w:t>
      </w:r>
      <w:r w:rsidR="00DA7826">
        <w:t xml:space="preserve">further </w:t>
      </w:r>
      <w:r>
        <w:t>which requirements</w:t>
      </w:r>
      <w:r w:rsidR="00B86FEF">
        <w:t xml:space="preserve"> – </w:t>
      </w:r>
      <w:r>
        <w:t>SEM</w:t>
      </w:r>
      <w:r w:rsidR="00B86FEF">
        <w:t>, IBE,</w:t>
      </w:r>
      <w:r>
        <w:t xml:space="preserve"> ACLR</w:t>
      </w:r>
      <w:r w:rsidR="00B86FEF">
        <w:t xml:space="preserve"> – </w:t>
      </w:r>
      <w:r>
        <w:t xml:space="preserve">can </w:t>
      </w:r>
      <w:r w:rsidR="00892B35">
        <w:t xml:space="preserve">be relaxed </w:t>
      </w:r>
      <w:r w:rsidR="00B86FEF">
        <w:t xml:space="preserve">to achieve </w:t>
      </w:r>
      <w:r>
        <w:t>the best power gains</w:t>
      </w:r>
      <w:r w:rsidR="00323D45">
        <w:t xml:space="preserve"> for NTN</w:t>
      </w:r>
      <w:r>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304DE1">
        <w:t xml:space="preserve"> </w:t>
      </w:r>
      <w:r w:rsidR="00326299">
        <w:t xml:space="preserve"> </w:t>
      </w:r>
    </w:p>
    <w:p w14:paraId="085BF872" w14:textId="74337664" w:rsidR="004E37F2" w:rsidRDefault="004E37F2" w:rsidP="004E37F2">
      <w:pPr>
        <w:pStyle w:val="Heading2"/>
      </w:pPr>
      <w:r>
        <w:t>2.3</w:t>
      </w:r>
      <w:r>
        <w:tab/>
        <w:t>Tx requirements for PC2</w:t>
      </w:r>
    </w:p>
    <w:p w14:paraId="321920C4" w14:textId="316ABA51" w:rsidR="00094844" w:rsidRDefault="004E37F2" w:rsidP="004E37F2">
      <w:r>
        <w:t xml:space="preserve">Based on our considerations in the previous sections, </w:t>
      </w:r>
      <w:r w:rsidR="00094844">
        <w:t>we suggest re-using existing PC2 Tx requirements including SEM, ACLR</w:t>
      </w:r>
      <w:r w:rsidR="009316BF">
        <w:t>, IBE</w:t>
      </w:r>
      <w:r w:rsidR="00094844">
        <w:t xml:space="preserve"> and MPR. In addition to that, A-MPR will be (re-)evaluated, when needed, because a higher Tx might also need higher A-MPR values. </w:t>
      </w:r>
    </w:p>
    <w:p w14:paraId="31DE0C67" w14:textId="4F28F149" w:rsidR="004E37F2" w:rsidRDefault="004E37F2" w:rsidP="004E37F2">
      <w:pPr>
        <w:pStyle w:val="Proposal"/>
      </w:pPr>
      <w:bookmarkStart w:id="63" w:name="_Toc189840934"/>
      <w:bookmarkStart w:id="64" w:name="_Toc189841059"/>
      <w:bookmarkStart w:id="65" w:name="_Toc193208426"/>
      <w:bookmarkStart w:id="66" w:name="_Toc193208489"/>
      <w:bookmarkStart w:id="67" w:name="_Toc193209381"/>
      <w:bookmarkStart w:id="68" w:name="_Toc193284460"/>
      <w:bookmarkStart w:id="69" w:name="_Toc193987711"/>
      <w:bookmarkStart w:id="70" w:name="_Toc193988322"/>
      <w:bookmarkStart w:id="71" w:name="_Toc193989710"/>
      <w:bookmarkStart w:id="72" w:name="_Toc193989831"/>
      <w:r>
        <w:t>Proposal 3a:</w:t>
      </w:r>
      <w:r>
        <w:tab/>
        <w:t>For NTN PC2 power class, existing SEM appl</w:t>
      </w:r>
      <w:r w:rsidR="00C7026E">
        <w:t>y</w:t>
      </w:r>
      <w:r>
        <w:t>.</w:t>
      </w:r>
      <w:bookmarkEnd w:id="63"/>
      <w:bookmarkEnd w:id="64"/>
      <w:bookmarkEnd w:id="65"/>
      <w:bookmarkEnd w:id="66"/>
      <w:bookmarkEnd w:id="67"/>
      <w:bookmarkEnd w:id="68"/>
      <w:bookmarkEnd w:id="69"/>
      <w:bookmarkEnd w:id="70"/>
      <w:bookmarkEnd w:id="71"/>
      <w:bookmarkEnd w:id="72"/>
    </w:p>
    <w:p w14:paraId="74EB3B06" w14:textId="059E92B9" w:rsidR="004E37F2" w:rsidRDefault="004E37F2" w:rsidP="004E37F2">
      <w:pPr>
        <w:pStyle w:val="Proposal"/>
      </w:pPr>
      <w:bookmarkStart w:id="73" w:name="_Toc189840935"/>
      <w:bookmarkStart w:id="74" w:name="_Toc189841060"/>
      <w:bookmarkStart w:id="75" w:name="_Toc193208427"/>
      <w:bookmarkStart w:id="76" w:name="_Toc193208490"/>
      <w:bookmarkStart w:id="77" w:name="_Toc193209382"/>
      <w:bookmarkStart w:id="78" w:name="_Toc193284461"/>
      <w:bookmarkStart w:id="79" w:name="_Toc193987712"/>
      <w:bookmarkStart w:id="80" w:name="_Toc193988323"/>
      <w:bookmarkStart w:id="81" w:name="_Toc193989711"/>
      <w:bookmarkStart w:id="82" w:name="_Toc193989832"/>
      <w:r>
        <w:t>Proposal 3b:</w:t>
      </w:r>
      <w:r>
        <w:tab/>
        <w:t>For NTN PC2 power class, existing MPR requirements for PC2 in TS 38.101-1 apply.</w:t>
      </w:r>
      <w:bookmarkEnd w:id="73"/>
      <w:bookmarkEnd w:id="74"/>
      <w:bookmarkEnd w:id="75"/>
      <w:bookmarkEnd w:id="76"/>
      <w:bookmarkEnd w:id="77"/>
      <w:bookmarkEnd w:id="78"/>
      <w:bookmarkEnd w:id="79"/>
      <w:bookmarkEnd w:id="80"/>
      <w:bookmarkEnd w:id="81"/>
      <w:bookmarkEnd w:id="82"/>
      <w:r>
        <w:t xml:space="preserve"> </w:t>
      </w:r>
    </w:p>
    <w:p w14:paraId="3D9C4796" w14:textId="3C477A29" w:rsidR="004E37F2" w:rsidRDefault="004E37F2" w:rsidP="004E37F2">
      <w:pPr>
        <w:pStyle w:val="Proposal"/>
      </w:pPr>
      <w:bookmarkStart w:id="83" w:name="_Toc189840936"/>
      <w:bookmarkStart w:id="84" w:name="_Toc189841061"/>
      <w:bookmarkStart w:id="85" w:name="_Toc193208428"/>
      <w:bookmarkStart w:id="86" w:name="_Toc193208491"/>
      <w:bookmarkStart w:id="87" w:name="_Toc193209383"/>
      <w:bookmarkStart w:id="88" w:name="_Toc193284462"/>
      <w:bookmarkStart w:id="89" w:name="_Toc193987713"/>
      <w:bookmarkStart w:id="90" w:name="_Toc193988324"/>
      <w:bookmarkStart w:id="91" w:name="_Toc193989712"/>
      <w:bookmarkStart w:id="92" w:name="_Toc193989833"/>
      <w:r>
        <w:t>Proposal 3c:</w:t>
      </w:r>
      <w:r>
        <w:tab/>
        <w:t xml:space="preserve">For NTN PC2 power class, existing ACLR requirement </w:t>
      </w:r>
      <w:r w:rsidR="00221D23">
        <w:t xml:space="preserve">for PC2 </w:t>
      </w:r>
      <w:r>
        <w:t>of 31dB in TS 38.101-1 apply.</w:t>
      </w:r>
      <w:bookmarkEnd w:id="83"/>
      <w:bookmarkEnd w:id="84"/>
      <w:bookmarkEnd w:id="85"/>
      <w:bookmarkEnd w:id="86"/>
      <w:bookmarkEnd w:id="87"/>
      <w:bookmarkEnd w:id="88"/>
      <w:bookmarkEnd w:id="89"/>
      <w:bookmarkEnd w:id="90"/>
      <w:bookmarkEnd w:id="91"/>
      <w:bookmarkEnd w:id="92"/>
    </w:p>
    <w:p w14:paraId="3A71480F" w14:textId="77777777" w:rsidR="00361245" w:rsidRDefault="00361245" w:rsidP="00361245"/>
    <w:p w14:paraId="31EEC946" w14:textId="0D84A8D5" w:rsidR="00361245" w:rsidRDefault="00361245" w:rsidP="00361245">
      <w:pPr>
        <w:pStyle w:val="Heading2"/>
      </w:pPr>
      <w:r>
        <w:t>2.4</w:t>
      </w:r>
      <w:r>
        <w:tab/>
        <w:t>A-MPR for PC2</w:t>
      </w:r>
    </w:p>
    <w:p w14:paraId="1E069C2F" w14:textId="3D4F4246" w:rsidR="00361245" w:rsidRDefault="00361245" w:rsidP="00361245">
      <w:r>
        <w:t>As discussed during the previous meeting, introduction of the PC2 power class for the NTN handheld devices will require evaluation of the A-MPR values for those bands, where A-MPR was already defined. As it stands now, we will need to re-evaluate A-MPR at least for bands n254 and n256, initial simulation results for which can be found in</w:t>
      </w:r>
      <w:r w:rsidR="007C3BC1">
        <w:t xml:space="preserve"> the following contributions</w:t>
      </w:r>
      <w:r>
        <w:t xml:space="preserve"> </w:t>
      </w:r>
      <w:r w:rsidR="007C3BC1">
        <w:fldChar w:fldCharType="begin"/>
      </w:r>
      <w:r w:rsidR="007C3BC1">
        <w:instrText xml:space="preserve"> REF _Ref193284646 \r \h </w:instrText>
      </w:r>
      <w:r w:rsidR="007C3BC1">
        <w:fldChar w:fldCharType="separate"/>
      </w:r>
      <w:r w:rsidR="007C3BC1">
        <w:t>[3]</w:t>
      </w:r>
      <w:r w:rsidR="007C3BC1">
        <w:fldChar w:fldCharType="end"/>
      </w:r>
      <w:r>
        <w:t xml:space="preserve"> and </w:t>
      </w:r>
      <w:r w:rsidR="007C3BC1">
        <w:fldChar w:fldCharType="begin"/>
      </w:r>
      <w:r w:rsidR="007C3BC1">
        <w:instrText xml:space="preserve"> REF _Ref193284657 \r \h </w:instrText>
      </w:r>
      <w:r w:rsidR="007C3BC1">
        <w:fldChar w:fldCharType="separate"/>
      </w:r>
      <w:r w:rsidR="007C3BC1">
        <w:t>[4]</w:t>
      </w:r>
      <w:r w:rsidR="007C3BC1">
        <w:fldChar w:fldCharType="end"/>
      </w:r>
      <w:r>
        <w:t xml:space="preserve">.  </w:t>
      </w:r>
      <w:r w:rsidR="00453FB9">
        <w:t xml:space="preserve">Based on the presented results, and as logically anticipated, higher A-MPR is needed for some allocations that already have A-MPR defined for PC3. </w:t>
      </w:r>
      <w:r>
        <w:t xml:space="preserve">  </w:t>
      </w:r>
    </w:p>
    <w:p w14:paraId="60611B2A" w14:textId="519583D0" w:rsidR="004E37F2" w:rsidRDefault="004E37F2" w:rsidP="00A15B1F">
      <w:pPr>
        <w:pStyle w:val="Proposal"/>
      </w:pPr>
      <w:bookmarkStart w:id="93" w:name="_Toc189840937"/>
      <w:bookmarkStart w:id="94" w:name="_Toc189841062"/>
      <w:bookmarkStart w:id="95" w:name="_Toc193208429"/>
      <w:bookmarkStart w:id="96" w:name="_Toc193208492"/>
      <w:bookmarkStart w:id="97" w:name="_Toc193209384"/>
      <w:bookmarkStart w:id="98" w:name="_Toc193284463"/>
      <w:bookmarkStart w:id="99" w:name="_Toc193987714"/>
      <w:bookmarkStart w:id="100" w:name="_Toc193988325"/>
      <w:bookmarkStart w:id="101" w:name="_Toc193989713"/>
      <w:bookmarkStart w:id="102" w:name="_Toc193989834"/>
      <w:r>
        <w:t xml:space="preserve">Proposal </w:t>
      </w:r>
      <w:r w:rsidR="00223F9E">
        <w:t>4a</w:t>
      </w:r>
      <w:r>
        <w:t>:</w:t>
      </w:r>
      <w:r>
        <w:tab/>
        <w:t xml:space="preserve">For NTN PC2 power class, A-MPR </w:t>
      </w:r>
      <w:r w:rsidR="00453FB9">
        <w:t>values should be updated (at least)</w:t>
      </w:r>
      <w:r w:rsidR="00361245">
        <w:t xml:space="preserve"> for bands n254 and n256</w:t>
      </w:r>
      <w:r>
        <w:t>.</w:t>
      </w:r>
      <w:bookmarkEnd w:id="93"/>
      <w:bookmarkEnd w:id="94"/>
      <w:bookmarkEnd w:id="95"/>
      <w:bookmarkEnd w:id="96"/>
      <w:bookmarkEnd w:id="97"/>
      <w:bookmarkEnd w:id="98"/>
      <w:bookmarkEnd w:id="99"/>
      <w:bookmarkEnd w:id="100"/>
      <w:bookmarkEnd w:id="101"/>
      <w:bookmarkEnd w:id="102"/>
      <w:r>
        <w:t xml:space="preserve">  </w:t>
      </w:r>
    </w:p>
    <w:p w14:paraId="514D2331" w14:textId="23C27E8F" w:rsidR="00223F9E" w:rsidRDefault="003327D4" w:rsidP="00223F9E">
      <w:r>
        <w:t xml:space="preserve">As already raised </w:t>
      </w:r>
      <w:r w:rsidR="00185F4C">
        <w:t>during the previous RAN WG4 meetings</w:t>
      </w:r>
      <w:r w:rsidR="002F5932">
        <w:t xml:space="preserve"> </w:t>
      </w:r>
      <w:r w:rsidR="002F5932">
        <w:fldChar w:fldCharType="begin"/>
      </w:r>
      <w:r w:rsidR="002F5932">
        <w:instrText xml:space="preserve"> REF _Ref193990705 \r \h </w:instrText>
      </w:r>
      <w:r w:rsidR="002F5932">
        <w:fldChar w:fldCharType="separate"/>
      </w:r>
      <w:r w:rsidR="002F5932">
        <w:t>[5]</w:t>
      </w:r>
      <w:r w:rsidR="002F5932">
        <w:fldChar w:fldCharType="end"/>
      </w:r>
      <w:r w:rsidR="00185F4C">
        <w:t xml:space="preserve">, re-evaluation of the existing A-MPR values for PC2 and potentially even higher power classes is a non-trivial task that requires checking all possible combinations of channel sizes, channel locations, allocation sizes, etc. It takes time to run these simulations, and it takes time to harmonise obtained values, but in case of NTN some combinations and scenarios are not likely to be used, at least for the handheld devices. Thus, we ask RAN WG4 to consider only a limited set of combinations that can simplify a lot further specification </w:t>
      </w:r>
      <w:proofErr w:type="gramStart"/>
      <w:r w:rsidR="00185F4C">
        <w:t>efforts</w:t>
      </w:r>
      <w:proofErr w:type="gramEnd"/>
      <w:r w:rsidR="00185F4C">
        <w:t xml:space="preserve">.  </w:t>
      </w:r>
    </w:p>
    <w:p w14:paraId="3418BB7A" w14:textId="0D5FD578" w:rsidR="00223F9E" w:rsidRDefault="00223F9E" w:rsidP="00223F9E">
      <w:pPr>
        <w:pStyle w:val="Proposal"/>
      </w:pPr>
      <w:bookmarkStart w:id="103" w:name="_Toc193989835"/>
      <w:r w:rsidRPr="00872482">
        <w:rPr>
          <w:bCs/>
        </w:rPr>
        <w:t>Proposal</w:t>
      </w:r>
      <w:r>
        <w:rPr>
          <w:bCs/>
        </w:rPr>
        <w:t xml:space="preserve"> 4b</w:t>
      </w:r>
      <w:r w:rsidRPr="00872482">
        <w:rPr>
          <w:bCs/>
        </w:rPr>
        <w:t>:</w:t>
      </w:r>
      <w:r>
        <w:tab/>
        <w:t>To reduce number of PC2 power back-off simulations, do not consider scenarios and combinations that are not expected for the satellite bands, e.g. large RB allocations, CP-OFDM, higher-order modulations.</w:t>
      </w:r>
      <w:bookmarkEnd w:id="103"/>
      <w:r>
        <w:t xml:space="preserve">  </w:t>
      </w:r>
    </w:p>
    <w:p w14:paraId="592930EA" w14:textId="77777777" w:rsidR="00223F9E" w:rsidRPr="00BD5FE5" w:rsidRDefault="00223F9E" w:rsidP="00223F9E"/>
    <w:p w14:paraId="34C99636" w14:textId="7917B134" w:rsidR="008E7986" w:rsidRDefault="008E7986" w:rsidP="00E27B54">
      <w:pPr>
        <w:pStyle w:val="Heading1"/>
        <w:keepNext w:val="0"/>
        <w:keepLines w:val="0"/>
      </w:pPr>
      <w:r>
        <w:t>3</w:t>
      </w:r>
      <w:r>
        <w:tab/>
        <w:t>Conclusions</w:t>
      </w:r>
    </w:p>
    <w:p w14:paraId="17391907" w14:textId="6F59031D" w:rsidR="00B12ADA" w:rsidRDefault="003C6CB1" w:rsidP="009104E8">
      <w:pPr>
        <w:jc w:val="both"/>
      </w:pPr>
      <w:r w:rsidRPr="001F2981">
        <w:t xml:space="preserve">In this discussion paper we have presented our </w:t>
      </w:r>
      <w:r w:rsidR="001F2981">
        <w:t>further</w:t>
      </w:r>
      <w:r w:rsidRPr="001F2981">
        <w:t xml:space="preserve"> </w:t>
      </w:r>
      <w:r w:rsidR="001F2981">
        <w:t>views</w:t>
      </w:r>
      <w:r w:rsidRPr="001F2981">
        <w:t xml:space="preserve"> on </w:t>
      </w:r>
      <w:r w:rsidR="001F2981">
        <w:t xml:space="preserve">several open issues discussed during the previous RAN WG4 meetings. More specifically, we suggest focusing on the PC2 and PC1 power classes for NTN because these power classes are based on the 1TX architecture and are already defined for the FDD bands making them ideal candidates for </w:t>
      </w:r>
      <w:r w:rsidR="00A104FF">
        <w:t>a wide range of devices including handheld</w:t>
      </w:r>
      <w:r w:rsidR="0055784E">
        <w:t>s</w:t>
      </w:r>
      <w:r w:rsidRPr="001F2981">
        <w:t>.</w:t>
      </w:r>
      <w:r>
        <w:t xml:space="preserve"> </w:t>
      </w:r>
      <w:r w:rsidR="001F2981">
        <w:t xml:space="preserve">Even higher power classes for the handheld devices, e.g. 29dBm, can be tackled in the follow-up normative work.  </w:t>
      </w:r>
      <w:r w:rsidR="00E917D2">
        <w:t xml:space="preserve">As for SEM and ACLR, our preference is to take existing requirements as a </w:t>
      </w:r>
      <w:r w:rsidR="00E917D2">
        <w:lastRenderedPageBreak/>
        <w:t>baseline</w:t>
      </w:r>
      <w:r w:rsidR="00C76E47">
        <w:t xml:space="preserve"> for further definition of the PC2 power class for NTN. At</w:t>
      </w:r>
      <w:r w:rsidR="00E917D2">
        <w:t xml:space="preserve"> the same time</w:t>
      </w:r>
      <w:r w:rsidR="00813C6A">
        <w:t>,</w:t>
      </w:r>
      <w:r w:rsidR="00E917D2">
        <w:t xml:space="preserve"> RAN WG4 </w:t>
      </w:r>
      <w:r w:rsidR="00813C6A">
        <w:t>can</w:t>
      </w:r>
      <w:r w:rsidR="00E917D2">
        <w:t xml:space="preserve"> study further which relaxations </w:t>
      </w:r>
      <w:r w:rsidR="0055784E">
        <w:t xml:space="preserve">– ACLR, SEM or IBE – </w:t>
      </w:r>
      <w:r w:rsidR="00E917D2">
        <w:t xml:space="preserve">can result in the best gains for the maximum output power. </w:t>
      </w:r>
      <w:r w:rsidR="001F2981">
        <w:t xml:space="preserve"> </w:t>
      </w:r>
      <w:r>
        <w:t xml:space="preserve"> </w:t>
      </w:r>
    </w:p>
    <w:p w14:paraId="47498F13" w14:textId="01451805" w:rsidR="00837E7E" w:rsidRPr="00837E7E" w:rsidRDefault="00837E7E" w:rsidP="00837E7E">
      <w:pPr>
        <w:pStyle w:val="Observation"/>
      </w:pPr>
      <w:r w:rsidRPr="00837E7E">
        <w:t>Observation 1a:</w:t>
      </w:r>
      <w:r w:rsidRPr="00837E7E">
        <w:tab/>
        <w:t>Both PC2 and PC1 are based on the 1TX architecture and are defined for the existing terrestrial FDD bands, which makes them ideal candidates for efficient operation in the satellite FDD bands</w:t>
      </w:r>
    </w:p>
    <w:p w14:paraId="5A7F0119" w14:textId="77777777" w:rsidR="00C5255E" w:rsidRDefault="00C5255E" w:rsidP="00C5255E">
      <w:pPr>
        <w:pStyle w:val="Observation"/>
      </w:pPr>
      <w:r>
        <w:t>Observation 1b:</w:t>
      </w:r>
      <w:r>
        <w:tab/>
        <w:t xml:space="preserve"> The existing PC1.5 power class is defined only for the TDD terrestrial bands and is based on the 2TX architecture.</w:t>
      </w:r>
    </w:p>
    <w:p w14:paraId="555A0954" w14:textId="77777777" w:rsidR="00C5255E" w:rsidRDefault="00C5255E" w:rsidP="00C5255E">
      <w:pPr>
        <w:pStyle w:val="Observation"/>
      </w:pPr>
      <w:r>
        <w:t>Observation 1c:</w:t>
      </w:r>
      <w:r>
        <w:tab/>
        <w:t xml:space="preserve"> 2TX architecture will require UL MIMO, resulting performance of which is not clear for the satellite channels.</w:t>
      </w:r>
    </w:p>
    <w:p w14:paraId="3A4196DB" w14:textId="3BDCE0D6" w:rsidR="00837E7E" w:rsidRDefault="00C5255E" w:rsidP="00C5255E">
      <w:pPr>
        <w:pStyle w:val="Observation"/>
      </w:pPr>
      <w:r>
        <w:t>Observation 1d:</w:t>
      </w:r>
      <w:r>
        <w:tab/>
        <w:t xml:space="preserve"> 2TX architecture and UL MIMO will also require CP-OFDM, MPR margins and A-MPR of which is much larger compared to DFT-s-OFDM (see the corresponding A-MPR values for e.g. band n254 and n256).</w:t>
      </w:r>
    </w:p>
    <w:p w14:paraId="457B1C8F" w14:textId="77777777" w:rsidR="00B83905" w:rsidRPr="009D2703" w:rsidRDefault="00B83905" w:rsidP="00B83905">
      <w:pPr>
        <w:pStyle w:val="Observation"/>
      </w:pPr>
      <w:r w:rsidRPr="009D2703">
        <w:t>Observation 2a:</w:t>
      </w:r>
      <w:r w:rsidRPr="009D2703">
        <w:tab/>
        <w:t>ACLR becomes the limiting factor only for large allocations, whereas small UL allocations are limited by SEM</w:t>
      </w:r>
      <w:r>
        <w:t xml:space="preserve"> in case of DFT-s-OFDM and SEM/IBE in case of CP-OFDM</w:t>
      </w:r>
      <w:r w:rsidRPr="009D2703">
        <w:t>.</w:t>
      </w:r>
    </w:p>
    <w:p w14:paraId="1F0363C2" w14:textId="77777777" w:rsidR="00B83905" w:rsidRDefault="00B83905" w:rsidP="00B83905">
      <w:pPr>
        <w:pStyle w:val="Observation"/>
      </w:pPr>
      <w:r w:rsidRPr="009D2703">
        <w:t>Observation 2b:</w:t>
      </w:r>
      <w:r w:rsidRPr="009D2703">
        <w:tab/>
        <w:t xml:space="preserve">Relaxing ACLR will not boost the maximum output power for the satellite links because a UE will be assigned small UL allocations. </w:t>
      </w:r>
    </w:p>
    <w:p w14:paraId="6016B9BB" w14:textId="77777777" w:rsidR="00B83905" w:rsidRPr="009D2703" w:rsidRDefault="00B83905" w:rsidP="00B83905">
      <w:pPr>
        <w:pStyle w:val="Observation"/>
      </w:pPr>
      <w:r>
        <w:t>Observation 2c:</w:t>
      </w:r>
      <w:r>
        <w:tab/>
        <w:t xml:space="preserve">It is not clear whether relaxation of the existing SEM is possible because it is defined by regulations, not by 3GPP.  </w:t>
      </w:r>
    </w:p>
    <w:p w14:paraId="2986D76A" w14:textId="2AA2E014" w:rsidR="00837E7E" w:rsidRDefault="00837E7E" w:rsidP="00FE1E7F">
      <w:pPr>
        <w:pStyle w:val="Observation"/>
      </w:pPr>
      <w:r w:rsidRPr="00837E7E">
        <w:t xml:space="preserve">.  </w:t>
      </w:r>
    </w:p>
    <w:p w14:paraId="1C9AE7EB" w14:textId="77777777" w:rsidR="00FE1E7F" w:rsidRPr="009104E8" w:rsidRDefault="00FE1E7F" w:rsidP="00FE1E7F">
      <w:pPr>
        <w:pStyle w:val="Observation"/>
      </w:pPr>
    </w:p>
    <w:p w14:paraId="583AE89A" w14:textId="77777777" w:rsidR="003327D4"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3327D4">
        <w:rPr>
          <w:noProof/>
        </w:rPr>
        <w:t>Proposal 1:</w:t>
      </w:r>
      <w:r w:rsidR="003327D4">
        <w:rPr>
          <w:rFonts w:asciiTheme="minorHAnsi" w:eastAsiaTheme="minorEastAsia" w:hAnsiTheme="minorHAnsi" w:cstheme="minorBidi"/>
          <w:b w:val="0"/>
          <w:bCs w:val="0"/>
          <w:noProof/>
          <w:kern w:val="2"/>
          <w:sz w:val="24"/>
          <w:szCs w:val="24"/>
          <w:lang w:val="en-DE" w:eastAsia="ko-KR"/>
          <w14:ligatures w14:val="standardContextual"/>
        </w:rPr>
        <w:tab/>
      </w:r>
      <w:r w:rsidR="003327D4">
        <w:rPr>
          <w:noProof/>
        </w:rPr>
        <w:t>29dBm for the FDD bands and handheld devices can be tackled in the follow-up normative work.</w:t>
      </w:r>
    </w:p>
    <w:p w14:paraId="66FA42AC"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937C08">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baseline approach, existing Tx requirements from the TN specifications are re-used for the high-power NTN UE.</w:t>
      </w:r>
    </w:p>
    <w:p w14:paraId="29DC9B73"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RAN WG4 can study further which requirements – SEM, IBE, ACLR – can be relaxed to achieve the best power gains for NTN.</w:t>
      </w:r>
    </w:p>
    <w:p w14:paraId="0F4451E3"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existing SEM apply.</w:t>
      </w:r>
    </w:p>
    <w:p w14:paraId="4B063367"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existing MPR requirements for PC2 in TS 38.101-1 apply.</w:t>
      </w:r>
    </w:p>
    <w:p w14:paraId="47EECA43"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existing ACLR requirement for PC2 of 31dB in TS 38.101-1 apply.</w:t>
      </w:r>
    </w:p>
    <w:p w14:paraId="2ED24FFF"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4a: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A-MPR values should be updated (at least) for bands n254 and n256.</w:t>
      </w:r>
    </w:p>
    <w:p w14:paraId="5553B371" w14:textId="77777777" w:rsidR="003327D4" w:rsidRDefault="003327D4">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937C08">
        <w:rPr>
          <w:noProof/>
        </w:rPr>
        <w:t>Proposal 4b: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To reduce number of PC2 power back-off simulations, do not consider scenarios and combinations that are not expected for the satellite bands, e.g. large RB allocations, CP-OFDM, higher-order modulations.</w:t>
      </w:r>
    </w:p>
    <w:p w14:paraId="0A9AC9A5" w14:textId="0717CCAC"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04" w:name="_Ref13820109"/>
      <w:r w:rsidRPr="00804854">
        <w:t>RP-193234</w:t>
      </w:r>
      <w:r>
        <w:t>, "</w:t>
      </w:r>
      <w:r w:rsidRPr="00804854">
        <w:t>Solutions for NR to support non-terrestrial networks (NTN)</w:t>
      </w:r>
      <w:r>
        <w:t>", Thales</w:t>
      </w:r>
      <w:bookmarkEnd w:id="104"/>
    </w:p>
    <w:p w14:paraId="672A525E" w14:textId="470B376A" w:rsidR="009335CA" w:rsidRDefault="009335CA" w:rsidP="00FF5898">
      <w:pPr>
        <w:pStyle w:val="EX"/>
        <w:numPr>
          <w:ilvl w:val="0"/>
          <w:numId w:val="5"/>
        </w:numPr>
      </w:pPr>
      <w:bookmarkStart w:id="105" w:name="_Ref173832184"/>
      <w:r w:rsidRPr="009335CA">
        <w:t>RP-240857, "New WID: Enhanced requirements and test methodology for NR and IoT NTN"</w:t>
      </w:r>
      <w:bookmarkEnd w:id="105"/>
    </w:p>
    <w:p w14:paraId="7413F4FF" w14:textId="63B56763" w:rsidR="00224F48" w:rsidRDefault="00FE3ADD" w:rsidP="00FF5898">
      <w:pPr>
        <w:pStyle w:val="EX"/>
        <w:numPr>
          <w:ilvl w:val="0"/>
          <w:numId w:val="5"/>
        </w:numPr>
      </w:pPr>
      <w:bookmarkStart w:id="106" w:name="_Ref193284646"/>
      <w:r w:rsidRPr="00FE3ADD">
        <w:t>R4-2503181</w:t>
      </w:r>
      <w:r w:rsidR="00224F48">
        <w:t>, "</w:t>
      </w:r>
      <w:r w:rsidR="00224F48" w:rsidRPr="00224F48">
        <w:t>Initial power back-off results for PC2 on NTN L-/S-band</w:t>
      </w:r>
      <w:r w:rsidR="00224F48">
        <w:t>", Apple, Globalstar</w:t>
      </w:r>
      <w:bookmarkEnd w:id="106"/>
    </w:p>
    <w:p w14:paraId="76B68B64" w14:textId="6E3CC7B7" w:rsidR="00224F48" w:rsidRDefault="00FE3ADD" w:rsidP="00224F48">
      <w:pPr>
        <w:pStyle w:val="EX"/>
        <w:numPr>
          <w:ilvl w:val="0"/>
          <w:numId w:val="5"/>
        </w:numPr>
      </w:pPr>
      <w:bookmarkStart w:id="107" w:name="_Ref193284657"/>
      <w:r w:rsidRPr="00FE3ADD">
        <w:t>R4-2503182</w:t>
      </w:r>
      <w:r w:rsidR="00224F48">
        <w:t>, "</w:t>
      </w:r>
      <w:r w:rsidR="00224F48" w:rsidRPr="00224F48">
        <w:t>Initial power back-off results for PC2 on NTN S-band</w:t>
      </w:r>
      <w:r w:rsidR="00224F48">
        <w:t>", Apple</w:t>
      </w:r>
      <w:bookmarkEnd w:id="107"/>
    </w:p>
    <w:p w14:paraId="11B0F252" w14:textId="7E2C774C" w:rsidR="003327D4" w:rsidRDefault="003327D4" w:rsidP="00224F48">
      <w:pPr>
        <w:pStyle w:val="EX"/>
        <w:numPr>
          <w:ilvl w:val="0"/>
          <w:numId w:val="5"/>
        </w:numPr>
      </w:pPr>
      <w:bookmarkStart w:id="108" w:name="_Ref193990705"/>
      <w:r w:rsidRPr="003327D4">
        <w:t>R4-2503183</w:t>
      </w:r>
      <w:r>
        <w:t>, "</w:t>
      </w:r>
      <w:r w:rsidRPr="003327D4">
        <w:t>On restricted set of power back-off simulations for the satellite band UE Tx requirements</w:t>
      </w:r>
      <w:r>
        <w:t>", Apple</w:t>
      </w:r>
      <w:bookmarkEnd w:id="108"/>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B6C6" w14:textId="77777777" w:rsidR="000F039C" w:rsidRDefault="000F039C">
      <w:r>
        <w:separator/>
      </w:r>
    </w:p>
  </w:endnote>
  <w:endnote w:type="continuationSeparator" w:id="0">
    <w:p w14:paraId="152CB38B" w14:textId="77777777" w:rsidR="000F039C" w:rsidRDefault="000F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DD79" w14:textId="77777777" w:rsidR="000F039C" w:rsidRDefault="000F039C">
      <w:r>
        <w:separator/>
      </w:r>
    </w:p>
  </w:footnote>
  <w:footnote w:type="continuationSeparator" w:id="0">
    <w:p w14:paraId="749BD45C" w14:textId="77777777" w:rsidR="000F039C" w:rsidRDefault="000F0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179C1"/>
    <w:rsid w:val="00022584"/>
    <w:rsid w:val="00024025"/>
    <w:rsid w:val="00025132"/>
    <w:rsid w:val="00026A8F"/>
    <w:rsid w:val="0003171C"/>
    <w:rsid w:val="00033397"/>
    <w:rsid w:val="00033F3B"/>
    <w:rsid w:val="00040095"/>
    <w:rsid w:val="00043628"/>
    <w:rsid w:val="000462FF"/>
    <w:rsid w:val="00050D5E"/>
    <w:rsid w:val="00051834"/>
    <w:rsid w:val="000518D2"/>
    <w:rsid w:val="00052D38"/>
    <w:rsid w:val="00054A22"/>
    <w:rsid w:val="000552A4"/>
    <w:rsid w:val="00061B02"/>
    <w:rsid w:val="00062023"/>
    <w:rsid w:val="000621AE"/>
    <w:rsid w:val="000629F8"/>
    <w:rsid w:val="00062B99"/>
    <w:rsid w:val="000655A6"/>
    <w:rsid w:val="00070D52"/>
    <w:rsid w:val="0007444D"/>
    <w:rsid w:val="0007793C"/>
    <w:rsid w:val="00080512"/>
    <w:rsid w:val="0008490B"/>
    <w:rsid w:val="00084DB8"/>
    <w:rsid w:val="000900F3"/>
    <w:rsid w:val="000917BE"/>
    <w:rsid w:val="00092644"/>
    <w:rsid w:val="00093952"/>
    <w:rsid w:val="00094844"/>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039C"/>
    <w:rsid w:val="000F24EE"/>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24237"/>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69C"/>
    <w:rsid w:val="00176C55"/>
    <w:rsid w:val="00177BF7"/>
    <w:rsid w:val="0018138C"/>
    <w:rsid w:val="00185F4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C2CB7"/>
    <w:rsid w:val="001D02C2"/>
    <w:rsid w:val="001D03D7"/>
    <w:rsid w:val="001D28FA"/>
    <w:rsid w:val="001D3AF9"/>
    <w:rsid w:val="001D6D52"/>
    <w:rsid w:val="001D6FE0"/>
    <w:rsid w:val="001D7E7C"/>
    <w:rsid w:val="001E082A"/>
    <w:rsid w:val="001E11D4"/>
    <w:rsid w:val="001E44ED"/>
    <w:rsid w:val="001E4F2C"/>
    <w:rsid w:val="001F0C1D"/>
    <w:rsid w:val="001F1132"/>
    <w:rsid w:val="001F168B"/>
    <w:rsid w:val="001F2981"/>
    <w:rsid w:val="001F5781"/>
    <w:rsid w:val="001F7D60"/>
    <w:rsid w:val="001F7F82"/>
    <w:rsid w:val="00200328"/>
    <w:rsid w:val="00203852"/>
    <w:rsid w:val="002038BC"/>
    <w:rsid w:val="00203F71"/>
    <w:rsid w:val="00204BA8"/>
    <w:rsid w:val="00205BC2"/>
    <w:rsid w:val="00206830"/>
    <w:rsid w:val="00215DAD"/>
    <w:rsid w:val="0021693C"/>
    <w:rsid w:val="00221D23"/>
    <w:rsid w:val="00223F9E"/>
    <w:rsid w:val="00224F48"/>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67E9C"/>
    <w:rsid w:val="00270751"/>
    <w:rsid w:val="00276720"/>
    <w:rsid w:val="00276EE4"/>
    <w:rsid w:val="00282556"/>
    <w:rsid w:val="0028458C"/>
    <w:rsid w:val="00285549"/>
    <w:rsid w:val="00285B74"/>
    <w:rsid w:val="00286EA5"/>
    <w:rsid w:val="00293332"/>
    <w:rsid w:val="002947F2"/>
    <w:rsid w:val="002A006D"/>
    <w:rsid w:val="002A02C9"/>
    <w:rsid w:val="002A3F44"/>
    <w:rsid w:val="002A4457"/>
    <w:rsid w:val="002A564B"/>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350A"/>
    <w:rsid w:val="002E4080"/>
    <w:rsid w:val="002F5932"/>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3D45"/>
    <w:rsid w:val="00326299"/>
    <w:rsid w:val="003327D4"/>
    <w:rsid w:val="00334135"/>
    <w:rsid w:val="00334617"/>
    <w:rsid w:val="00335709"/>
    <w:rsid w:val="003378AE"/>
    <w:rsid w:val="00340356"/>
    <w:rsid w:val="0034052F"/>
    <w:rsid w:val="00342BE4"/>
    <w:rsid w:val="00344627"/>
    <w:rsid w:val="00344A6C"/>
    <w:rsid w:val="00345757"/>
    <w:rsid w:val="0035462D"/>
    <w:rsid w:val="003601DF"/>
    <w:rsid w:val="00361245"/>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D5F45"/>
    <w:rsid w:val="003E249B"/>
    <w:rsid w:val="003E390C"/>
    <w:rsid w:val="003E7753"/>
    <w:rsid w:val="003F4198"/>
    <w:rsid w:val="003F59B1"/>
    <w:rsid w:val="003F68E6"/>
    <w:rsid w:val="00400A77"/>
    <w:rsid w:val="004012FF"/>
    <w:rsid w:val="004024BA"/>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53FB9"/>
    <w:rsid w:val="00461B71"/>
    <w:rsid w:val="00463255"/>
    <w:rsid w:val="004634D0"/>
    <w:rsid w:val="0046392D"/>
    <w:rsid w:val="0046714E"/>
    <w:rsid w:val="00467E11"/>
    <w:rsid w:val="004709C4"/>
    <w:rsid w:val="00476248"/>
    <w:rsid w:val="004826A9"/>
    <w:rsid w:val="004837BD"/>
    <w:rsid w:val="00487951"/>
    <w:rsid w:val="00487E97"/>
    <w:rsid w:val="0049129B"/>
    <w:rsid w:val="00497E40"/>
    <w:rsid w:val="004A34B7"/>
    <w:rsid w:val="004A37DE"/>
    <w:rsid w:val="004B09FC"/>
    <w:rsid w:val="004B12D6"/>
    <w:rsid w:val="004B3E42"/>
    <w:rsid w:val="004B5470"/>
    <w:rsid w:val="004B6798"/>
    <w:rsid w:val="004C01E1"/>
    <w:rsid w:val="004C0A2E"/>
    <w:rsid w:val="004C1601"/>
    <w:rsid w:val="004C3099"/>
    <w:rsid w:val="004C38A8"/>
    <w:rsid w:val="004C7B37"/>
    <w:rsid w:val="004D3578"/>
    <w:rsid w:val="004E213A"/>
    <w:rsid w:val="004E2D77"/>
    <w:rsid w:val="004E37F2"/>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16B8"/>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662"/>
    <w:rsid w:val="00543E6C"/>
    <w:rsid w:val="005466EB"/>
    <w:rsid w:val="00550D79"/>
    <w:rsid w:val="00554492"/>
    <w:rsid w:val="005558F9"/>
    <w:rsid w:val="00555910"/>
    <w:rsid w:val="00557742"/>
    <w:rsid w:val="0055784E"/>
    <w:rsid w:val="005618B2"/>
    <w:rsid w:val="005634E1"/>
    <w:rsid w:val="00565087"/>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AA5"/>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21D"/>
    <w:rsid w:val="00667FCD"/>
    <w:rsid w:val="0067193B"/>
    <w:rsid w:val="00672E1E"/>
    <w:rsid w:val="00673EF2"/>
    <w:rsid w:val="006777F3"/>
    <w:rsid w:val="00677B76"/>
    <w:rsid w:val="006800C1"/>
    <w:rsid w:val="0068188F"/>
    <w:rsid w:val="00690AB3"/>
    <w:rsid w:val="00690E24"/>
    <w:rsid w:val="00691014"/>
    <w:rsid w:val="00695ACB"/>
    <w:rsid w:val="0069676C"/>
    <w:rsid w:val="0069685D"/>
    <w:rsid w:val="006974B3"/>
    <w:rsid w:val="006A323F"/>
    <w:rsid w:val="006A3699"/>
    <w:rsid w:val="006A4C43"/>
    <w:rsid w:val="006A5B00"/>
    <w:rsid w:val="006B30D0"/>
    <w:rsid w:val="006B5F7C"/>
    <w:rsid w:val="006B7D66"/>
    <w:rsid w:val="006C1EB2"/>
    <w:rsid w:val="006C2B4C"/>
    <w:rsid w:val="006C351C"/>
    <w:rsid w:val="006C3B46"/>
    <w:rsid w:val="006C3D95"/>
    <w:rsid w:val="006C5CE0"/>
    <w:rsid w:val="006C7DE7"/>
    <w:rsid w:val="006D012B"/>
    <w:rsid w:val="006D21E5"/>
    <w:rsid w:val="006D493B"/>
    <w:rsid w:val="006D7439"/>
    <w:rsid w:val="006E0125"/>
    <w:rsid w:val="006E0326"/>
    <w:rsid w:val="006E1969"/>
    <w:rsid w:val="006E2D06"/>
    <w:rsid w:val="006E332E"/>
    <w:rsid w:val="006E58C5"/>
    <w:rsid w:val="006E5C86"/>
    <w:rsid w:val="006F32C4"/>
    <w:rsid w:val="006F4144"/>
    <w:rsid w:val="006F4483"/>
    <w:rsid w:val="006F7F5A"/>
    <w:rsid w:val="00700CF5"/>
    <w:rsid w:val="00701BF6"/>
    <w:rsid w:val="00703061"/>
    <w:rsid w:val="00713C44"/>
    <w:rsid w:val="0071576F"/>
    <w:rsid w:val="00723101"/>
    <w:rsid w:val="00723949"/>
    <w:rsid w:val="00723D0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4D"/>
    <w:rsid w:val="007651E9"/>
    <w:rsid w:val="00766376"/>
    <w:rsid w:val="00770F6A"/>
    <w:rsid w:val="00771457"/>
    <w:rsid w:val="007716DF"/>
    <w:rsid w:val="00774DA4"/>
    <w:rsid w:val="00776727"/>
    <w:rsid w:val="00781F0F"/>
    <w:rsid w:val="007822F4"/>
    <w:rsid w:val="00783562"/>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3BC1"/>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1184D"/>
    <w:rsid w:val="00813C6A"/>
    <w:rsid w:val="008163E0"/>
    <w:rsid w:val="00820B25"/>
    <w:rsid w:val="00822E73"/>
    <w:rsid w:val="00823B74"/>
    <w:rsid w:val="008272CE"/>
    <w:rsid w:val="00830747"/>
    <w:rsid w:val="008321F9"/>
    <w:rsid w:val="0083542B"/>
    <w:rsid w:val="00837E7E"/>
    <w:rsid w:val="0084144D"/>
    <w:rsid w:val="008433DC"/>
    <w:rsid w:val="0085063B"/>
    <w:rsid w:val="00850EF7"/>
    <w:rsid w:val="00854961"/>
    <w:rsid w:val="008565C4"/>
    <w:rsid w:val="00861F21"/>
    <w:rsid w:val="008621D8"/>
    <w:rsid w:val="00863C72"/>
    <w:rsid w:val="00866877"/>
    <w:rsid w:val="00866E39"/>
    <w:rsid w:val="00872482"/>
    <w:rsid w:val="008768CA"/>
    <w:rsid w:val="00881CD6"/>
    <w:rsid w:val="00883455"/>
    <w:rsid w:val="008843A2"/>
    <w:rsid w:val="00884D7F"/>
    <w:rsid w:val="0089167B"/>
    <w:rsid w:val="00892B35"/>
    <w:rsid w:val="00894AB0"/>
    <w:rsid w:val="00896799"/>
    <w:rsid w:val="008A460F"/>
    <w:rsid w:val="008A485A"/>
    <w:rsid w:val="008A7323"/>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4E8"/>
    <w:rsid w:val="00910BC7"/>
    <w:rsid w:val="00911006"/>
    <w:rsid w:val="009114D7"/>
    <w:rsid w:val="00912C69"/>
    <w:rsid w:val="0091348E"/>
    <w:rsid w:val="00913AC2"/>
    <w:rsid w:val="00914CEF"/>
    <w:rsid w:val="00914DDA"/>
    <w:rsid w:val="00917807"/>
    <w:rsid w:val="00917CCB"/>
    <w:rsid w:val="009205B7"/>
    <w:rsid w:val="00920C02"/>
    <w:rsid w:val="009219A3"/>
    <w:rsid w:val="00922D05"/>
    <w:rsid w:val="00923A2E"/>
    <w:rsid w:val="009279B4"/>
    <w:rsid w:val="00931553"/>
    <w:rsid w:val="009316BF"/>
    <w:rsid w:val="009335CA"/>
    <w:rsid w:val="00935D71"/>
    <w:rsid w:val="00937E3F"/>
    <w:rsid w:val="00940D43"/>
    <w:rsid w:val="009415AC"/>
    <w:rsid w:val="00942EC2"/>
    <w:rsid w:val="0094373D"/>
    <w:rsid w:val="00945132"/>
    <w:rsid w:val="00945B01"/>
    <w:rsid w:val="009516F6"/>
    <w:rsid w:val="00951A2E"/>
    <w:rsid w:val="0095410C"/>
    <w:rsid w:val="00955C25"/>
    <w:rsid w:val="0095616A"/>
    <w:rsid w:val="0095641F"/>
    <w:rsid w:val="00960253"/>
    <w:rsid w:val="00960E66"/>
    <w:rsid w:val="00967996"/>
    <w:rsid w:val="009708E0"/>
    <w:rsid w:val="00973346"/>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B29DE"/>
    <w:rsid w:val="009B4476"/>
    <w:rsid w:val="009C067E"/>
    <w:rsid w:val="009C2464"/>
    <w:rsid w:val="009C2C1B"/>
    <w:rsid w:val="009C5E4C"/>
    <w:rsid w:val="009D2703"/>
    <w:rsid w:val="009D3B48"/>
    <w:rsid w:val="009D3F00"/>
    <w:rsid w:val="009E3057"/>
    <w:rsid w:val="009E4032"/>
    <w:rsid w:val="009E5781"/>
    <w:rsid w:val="009E7750"/>
    <w:rsid w:val="009F37B7"/>
    <w:rsid w:val="009F5009"/>
    <w:rsid w:val="009F55B3"/>
    <w:rsid w:val="009F5E43"/>
    <w:rsid w:val="009F6E2F"/>
    <w:rsid w:val="00A01247"/>
    <w:rsid w:val="00A01C2B"/>
    <w:rsid w:val="00A05AB6"/>
    <w:rsid w:val="00A06A65"/>
    <w:rsid w:val="00A103D8"/>
    <w:rsid w:val="00A104FF"/>
    <w:rsid w:val="00A10F02"/>
    <w:rsid w:val="00A12136"/>
    <w:rsid w:val="00A1260C"/>
    <w:rsid w:val="00A15B1F"/>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45DAC"/>
    <w:rsid w:val="00A5077F"/>
    <w:rsid w:val="00A50E09"/>
    <w:rsid w:val="00A52241"/>
    <w:rsid w:val="00A52E6C"/>
    <w:rsid w:val="00A53724"/>
    <w:rsid w:val="00A556DB"/>
    <w:rsid w:val="00A61D6B"/>
    <w:rsid w:val="00A63895"/>
    <w:rsid w:val="00A6585D"/>
    <w:rsid w:val="00A67458"/>
    <w:rsid w:val="00A73129"/>
    <w:rsid w:val="00A7427F"/>
    <w:rsid w:val="00A751B1"/>
    <w:rsid w:val="00A801B4"/>
    <w:rsid w:val="00A81515"/>
    <w:rsid w:val="00A8227B"/>
    <w:rsid w:val="00A82346"/>
    <w:rsid w:val="00A86DA6"/>
    <w:rsid w:val="00A90AB9"/>
    <w:rsid w:val="00A92BA1"/>
    <w:rsid w:val="00A93F67"/>
    <w:rsid w:val="00A9582B"/>
    <w:rsid w:val="00AA0A82"/>
    <w:rsid w:val="00AA456E"/>
    <w:rsid w:val="00AA5735"/>
    <w:rsid w:val="00AB0E32"/>
    <w:rsid w:val="00AB2852"/>
    <w:rsid w:val="00AB2D27"/>
    <w:rsid w:val="00AB3997"/>
    <w:rsid w:val="00AB3AF4"/>
    <w:rsid w:val="00AC176F"/>
    <w:rsid w:val="00AC30FF"/>
    <w:rsid w:val="00AC3A0D"/>
    <w:rsid w:val="00AC4113"/>
    <w:rsid w:val="00AC6BC6"/>
    <w:rsid w:val="00AD30A9"/>
    <w:rsid w:val="00AD32F4"/>
    <w:rsid w:val="00AD3CE6"/>
    <w:rsid w:val="00AD7733"/>
    <w:rsid w:val="00AD7B15"/>
    <w:rsid w:val="00AE1E1D"/>
    <w:rsid w:val="00AE24D1"/>
    <w:rsid w:val="00AE2C35"/>
    <w:rsid w:val="00AE3797"/>
    <w:rsid w:val="00AE6DAB"/>
    <w:rsid w:val="00AF0800"/>
    <w:rsid w:val="00AF4C4A"/>
    <w:rsid w:val="00AF4E68"/>
    <w:rsid w:val="00AF6C6F"/>
    <w:rsid w:val="00AF7A5E"/>
    <w:rsid w:val="00B01C1E"/>
    <w:rsid w:val="00B06987"/>
    <w:rsid w:val="00B12ADA"/>
    <w:rsid w:val="00B137ED"/>
    <w:rsid w:val="00B15449"/>
    <w:rsid w:val="00B23FC5"/>
    <w:rsid w:val="00B30D17"/>
    <w:rsid w:val="00B30E18"/>
    <w:rsid w:val="00B30F57"/>
    <w:rsid w:val="00B31AF8"/>
    <w:rsid w:val="00B31EAB"/>
    <w:rsid w:val="00B3313E"/>
    <w:rsid w:val="00B34AF8"/>
    <w:rsid w:val="00B35701"/>
    <w:rsid w:val="00B3794F"/>
    <w:rsid w:val="00B4064C"/>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4B30"/>
    <w:rsid w:val="00B66212"/>
    <w:rsid w:val="00B72A82"/>
    <w:rsid w:val="00B7661E"/>
    <w:rsid w:val="00B76CA8"/>
    <w:rsid w:val="00B76F6D"/>
    <w:rsid w:val="00B77756"/>
    <w:rsid w:val="00B82C3C"/>
    <w:rsid w:val="00B83905"/>
    <w:rsid w:val="00B848D4"/>
    <w:rsid w:val="00B84C46"/>
    <w:rsid w:val="00B851D2"/>
    <w:rsid w:val="00B86FEF"/>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255E"/>
    <w:rsid w:val="00C5359F"/>
    <w:rsid w:val="00C5685D"/>
    <w:rsid w:val="00C60513"/>
    <w:rsid w:val="00C61D1C"/>
    <w:rsid w:val="00C646D1"/>
    <w:rsid w:val="00C6630F"/>
    <w:rsid w:val="00C7026E"/>
    <w:rsid w:val="00C724F5"/>
    <w:rsid w:val="00C72833"/>
    <w:rsid w:val="00C73514"/>
    <w:rsid w:val="00C74AFF"/>
    <w:rsid w:val="00C74D91"/>
    <w:rsid w:val="00C76E47"/>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53E6"/>
    <w:rsid w:val="00D46431"/>
    <w:rsid w:val="00D468B9"/>
    <w:rsid w:val="00D54B60"/>
    <w:rsid w:val="00D553ED"/>
    <w:rsid w:val="00D56A52"/>
    <w:rsid w:val="00D57608"/>
    <w:rsid w:val="00D57972"/>
    <w:rsid w:val="00D6107D"/>
    <w:rsid w:val="00D645AF"/>
    <w:rsid w:val="00D65F45"/>
    <w:rsid w:val="00D66B29"/>
    <w:rsid w:val="00D675A9"/>
    <w:rsid w:val="00D738D6"/>
    <w:rsid w:val="00D7450A"/>
    <w:rsid w:val="00D7485F"/>
    <w:rsid w:val="00D755EB"/>
    <w:rsid w:val="00D77E92"/>
    <w:rsid w:val="00D80C1A"/>
    <w:rsid w:val="00D821E5"/>
    <w:rsid w:val="00D8602A"/>
    <w:rsid w:val="00D867DB"/>
    <w:rsid w:val="00D87812"/>
    <w:rsid w:val="00D87E00"/>
    <w:rsid w:val="00D907F9"/>
    <w:rsid w:val="00D9134D"/>
    <w:rsid w:val="00D91888"/>
    <w:rsid w:val="00DA0F34"/>
    <w:rsid w:val="00DA2BE3"/>
    <w:rsid w:val="00DA3BC8"/>
    <w:rsid w:val="00DA62A4"/>
    <w:rsid w:val="00DA7826"/>
    <w:rsid w:val="00DA7A03"/>
    <w:rsid w:val="00DB12EC"/>
    <w:rsid w:val="00DB13D0"/>
    <w:rsid w:val="00DB1818"/>
    <w:rsid w:val="00DB42C3"/>
    <w:rsid w:val="00DB4E11"/>
    <w:rsid w:val="00DB5C15"/>
    <w:rsid w:val="00DB5D02"/>
    <w:rsid w:val="00DC1E80"/>
    <w:rsid w:val="00DC309B"/>
    <w:rsid w:val="00DC47A6"/>
    <w:rsid w:val="00DC4DA2"/>
    <w:rsid w:val="00DC516A"/>
    <w:rsid w:val="00DC5551"/>
    <w:rsid w:val="00DC5B70"/>
    <w:rsid w:val="00DD0817"/>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91"/>
    <w:rsid w:val="00E374CA"/>
    <w:rsid w:val="00E40281"/>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96D"/>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17D2"/>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5EF"/>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3636"/>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006F"/>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97F77"/>
    <w:rsid w:val="00FA0D1A"/>
    <w:rsid w:val="00FA0DFF"/>
    <w:rsid w:val="00FA1266"/>
    <w:rsid w:val="00FA7625"/>
    <w:rsid w:val="00FB1CFB"/>
    <w:rsid w:val="00FB2C76"/>
    <w:rsid w:val="00FB360C"/>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1E7F"/>
    <w:rsid w:val="00FE3ADD"/>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TotalTime>
  <Pages>5</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31</cp:revision>
  <cp:lastPrinted>2019-02-25T14:05:00Z</cp:lastPrinted>
  <dcterms:created xsi:type="dcterms:W3CDTF">2025-03-18T14:38:00Z</dcterms:created>
  <dcterms:modified xsi:type="dcterms:W3CDTF">2025-03-28T08:34:00Z</dcterms:modified>
  <cp:category/>
</cp:coreProperties>
</file>